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A11D6" w:rsidRDefault="00DA11D6" w:rsidP="00DA11D6">
      <w:pPr>
        <w:pStyle w:val="a6"/>
        <w:spacing w:line="276" w:lineRule="auto"/>
        <w:jc w:val="center"/>
        <w:rPr>
          <w:rFonts w:ascii="PT Astra Serif" w:hAnsi="PT Astra Serif"/>
          <w:b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spacing w:after="0"/>
        <w:rPr>
          <w:sz w:val="22"/>
          <w:szCs w:val="22"/>
        </w:rPr>
      </w:pP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AB3B84" w:rsidRPr="00393226" w:rsidRDefault="00DA11D6" w:rsidP="008D4E41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DA11D6" w:rsidRPr="00393226" w:rsidRDefault="00DA11D6" w:rsidP="00DA11D6">
      <w:pPr>
        <w:spacing w:after="0" w:line="240" w:lineRule="auto"/>
        <w:jc w:val="center"/>
      </w:pPr>
      <w:r w:rsidRPr="00393226">
        <w:t xml:space="preserve">на проект решения Думы города Югорска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 w:rsidR="00680BF6">
        <w:t>от  19</w:t>
      </w:r>
      <w:r w:rsidRPr="00393226">
        <w:t>.12.20</w:t>
      </w:r>
      <w:r>
        <w:t>2</w:t>
      </w:r>
      <w:r w:rsidR="00680BF6">
        <w:t>3</w:t>
      </w:r>
      <w:r w:rsidRPr="00393226">
        <w:t xml:space="preserve">  № </w:t>
      </w:r>
      <w:r w:rsidR="00680BF6">
        <w:t>97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«</w:t>
      </w:r>
      <w:r>
        <w:t>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Pr="00393226">
        <w:t xml:space="preserve"> и 202</w:t>
      </w:r>
      <w:r w:rsidR="00680BF6">
        <w:t>6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680BF6">
        <w:t>18</w:t>
      </w:r>
      <w:r w:rsidR="00F623D0">
        <w:t xml:space="preserve">  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   </w:t>
      </w:r>
      <w:r w:rsidRPr="00393226">
        <w:t xml:space="preserve">      от  </w:t>
      </w:r>
      <w:r w:rsidR="00A4082B">
        <w:t>10</w:t>
      </w:r>
      <w:r w:rsidR="00EE3833">
        <w:t xml:space="preserve"> апреля</w:t>
      </w:r>
      <w:r w:rsidRPr="00393226">
        <w:t xml:space="preserve"> 202</w:t>
      </w:r>
      <w:r w:rsidR="00A4082B">
        <w:t>4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 xml:space="preserve">Контрольно-счетной палатой города Югорска проведена экспертиза по проекту решения Думы города Югорска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 w:rsidR="00680BF6">
        <w:t>от  19</w:t>
      </w:r>
      <w:r w:rsidRPr="00393226">
        <w:t>.12.20</w:t>
      </w:r>
      <w:r w:rsidR="00805D8C">
        <w:t>2</w:t>
      </w:r>
      <w:r w:rsidR="00680BF6">
        <w:t>3</w:t>
      </w:r>
      <w:r w:rsidRPr="00393226">
        <w:t xml:space="preserve">   №</w:t>
      </w:r>
      <w:r w:rsidR="001805B3">
        <w:t xml:space="preserve"> </w:t>
      </w:r>
      <w:r w:rsidR="00680BF6">
        <w:t>97</w:t>
      </w:r>
      <w:r w:rsidRPr="00393226">
        <w:t>  «О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="00457018">
        <w:t xml:space="preserve"> </w:t>
      </w:r>
      <w:r w:rsidRPr="00393226">
        <w:t>и 202</w:t>
      </w:r>
      <w:r w:rsidR="00680BF6">
        <w:t>6</w:t>
      </w:r>
      <w:r w:rsidRPr="00393226">
        <w:t xml:space="preserve"> годов» 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1805B3" w:rsidP="005C0939">
      <w:pPr>
        <w:pStyle w:val="a3"/>
        <w:numPr>
          <w:ilvl w:val="0"/>
          <w:numId w:val="1"/>
        </w:numPr>
        <w:spacing w:after="0"/>
        <w:jc w:val="both"/>
      </w:pPr>
      <w:r>
        <w:t>решению</w:t>
      </w:r>
      <w:r w:rsidRPr="00393226">
        <w:t xml:space="preserve"> Думы города </w:t>
      </w:r>
      <w:proofErr w:type="spellStart"/>
      <w:r w:rsidRPr="00393226">
        <w:t>Югорска</w:t>
      </w:r>
      <w:proofErr w:type="spellEnd"/>
      <w:r w:rsidRPr="001805B3">
        <w:rPr>
          <w:b/>
        </w:rPr>
        <w:t xml:space="preserve">  </w:t>
      </w:r>
      <w:r w:rsidR="00680BF6">
        <w:t>от  19</w:t>
      </w:r>
      <w:r w:rsidRPr="00393226">
        <w:t>.12.20</w:t>
      </w:r>
      <w:r>
        <w:t>2</w:t>
      </w:r>
      <w:r w:rsidR="00680BF6">
        <w:t>3</w:t>
      </w:r>
      <w:r w:rsidRPr="00393226">
        <w:t xml:space="preserve">   №</w:t>
      </w:r>
      <w:r>
        <w:t xml:space="preserve"> </w:t>
      </w:r>
      <w:r w:rsidR="00680BF6">
        <w:t>97</w:t>
      </w:r>
      <w:r w:rsidRPr="00393226">
        <w:t>  «О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="00A74280">
        <w:t xml:space="preserve"> </w:t>
      </w:r>
      <w:r w:rsidRPr="00393226">
        <w:t>и 202</w:t>
      </w:r>
      <w:r w:rsidR="00680BF6">
        <w:t>6</w:t>
      </w:r>
      <w:r w:rsidRPr="00393226">
        <w:t xml:space="preserve"> годов»</w:t>
      </w:r>
      <w:r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 xml:space="preserve">«Экспертно - аналитические мероприятия»  плана работы контрольно-счетной палаты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680BF6">
        <w:t>4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720F72" w:rsidRPr="008D4E41" w:rsidRDefault="00DA11D6" w:rsidP="008D4E41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 xml:space="preserve">предусматривает уточнения, вносимые в бюджет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680BF6">
        <w:t>4</w:t>
      </w:r>
      <w:r w:rsidR="009F5C23">
        <w:t xml:space="preserve"> </w:t>
      </w:r>
      <w:r w:rsidR="00483F3C">
        <w:t>год</w:t>
      </w:r>
      <w:r>
        <w:t>.</w:t>
      </w:r>
      <w:r w:rsidRPr="00393226">
        <w:t xml:space="preserve">          </w:t>
      </w: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 xml:space="preserve">Изменение параметров бюджета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на 202</w:t>
      </w:r>
      <w:r w:rsidR="00680BF6">
        <w:rPr>
          <w:b/>
        </w:rPr>
        <w:t xml:space="preserve">4 </w:t>
      </w:r>
      <w:r>
        <w:rPr>
          <w:b/>
        </w:rPr>
        <w:t>год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C863D8" w:rsidRPr="008D7BB6" w:rsidTr="0075784A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C863D8" w:rsidRPr="008D7BB6" w:rsidRDefault="00680BF6" w:rsidP="00680BF6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от 19.12.2023 № 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C863D8" w:rsidRPr="008D7BB6" w:rsidTr="0075784A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4 827 762,9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+152 411,4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4 980 174,3</w:t>
            </w:r>
          </w:p>
        </w:tc>
      </w:tr>
      <w:tr w:rsidR="00C863D8" w:rsidRPr="008D7BB6" w:rsidTr="0075784A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4 967 762,9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+152 411,4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5 120 174,3</w:t>
            </w:r>
          </w:p>
        </w:tc>
      </w:tr>
      <w:tr w:rsidR="00C863D8" w:rsidRPr="008D7BB6" w:rsidTr="0075784A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-140 000,0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-140 000,0</w:t>
            </w:r>
          </w:p>
        </w:tc>
      </w:tr>
      <w:tr w:rsidR="00C863D8" w:rsidRPr="008D7BB6" w:rsidTr="00680BF6">
        <w:trPr>
          <w:trHeight w:val="7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</w:p>
        </w:tc>
      </w:tr>
    </w:tbl>
    <w:p w:rsidR="00AB3B84" w:rsidRDefault="00DA11D6" w:rsidP="00742414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</w:t>
      </w:r>
      <w:proofErr w:type="spellStart"/>
      <w:r w:rsidRPr="00A74280">
        <w:t>Югорска</w:t>
      </w:r>
      <w:proofErr w:type="spellEnd"/>
      <w:r w:rsidRPr="00A74280">
        <w:t xml:space="preserve"> </w:t>
      </w:r>
      <w:r w:rsidRPr="00A74280">
        <w:rPr>
          <w:b/>
        </w:rPr>
        <w:t>на 202</w:t>
      </w:r>
      <w:r w:rsidR="00F064D9">
        <w:rPr>
          <w:b/>
        </w:rPr>
        <w:t>3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 w:rsidRPr="00680BF6">
        <w:rPr>
          <w:b/>
        </w:rPr>
        <w:t>(</w:t>
      </w:r>
      <w:r w:rsidR="00720F72" w:rsidRPr="00680BF6">
        <w:rPr>
          <w:b/>
        </w:rPr>
        <w:t>+</w:t>
      </w:r>
      <w:r w:rsidR="00457018" w:rsidRPr="00680BF6">
        <w:rPr>
          <w:b/>
        </w:rPr>
        <w:t>)</w:t>
      </w:r>
      <w:r w:rsidR="00C863D8">
        <w:rPr>
          <w:b/>
        </w:rPr>
        <w:t> </w:t>
      </w:r>
      <w:r w:rsidR="006775FA">
        <w:rPr>
          <w:b/>
        </w:rPr>
        <w:t>152 411,4</w:t>
      </w:r>
      <w:r w:rsidR="00457018">
        <w:t xml:space="preserve">  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680BF6">
        <w:rPr>
          <w:rFonts w:eastAsia="Times New Roman"/>
          <w:sz w:val="24"/>
        </w:rPr>
        <w:t>4 980 174,3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Pr="00A74280" w:rsidRDefault="00DA11D6" w:rsidP="006B3AF8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680BF6">
        <w:t>31 919,3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DA11D6" w:rsidRPr="00A74280" w:rsidRDefault="00DA11D6" w:rsidP="00DA11D6">
      <w:pPr>
        <w:spacing w:after="0"/>
        <w:jc w:val="both"/>
      </w:pPr>
      <w:r w:rsidRPr="00A74280">
        <w:t xml:space="preserve">       -  по субсидиям на общую сумму </w:t>
      </w:r>
      <w:r w:rsidR="00AB3B84">
        <w:t>(</w:t>
      </w:r>
      <w:r w:rsidR="00680BF6">
        <w:t>-</w:t>
      </w:r>
      <w:r w:rsidR="00AB3B84">
        <w:t xml:space="preserve">) </w:t>
      </w:r>
      <w:r w:rsidR="00680BF6">
        <w:t>1 606,8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;</w:t>
      </w:r>
    </w:p>
    <w:p w:rsidR="001A6F45" w:rsidRPr="00C859F3" w:rsidRDefault="00DA11D6" w:rsidP="00680BF6">
      <w:pPr>
        <w:spacing w:after="0"/>
        <w:jc w:val="both"/>
      </w:pPr>
      <w:r w:rsidRPr="00A74280">
        <w:t xml:space="preserve">       -  по иным межбюджетным трансфертам на общую сумму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680BF6">
        <w:t>33 533,9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="00480116" w:rsidRPr="00A74280">
        <w:t>;</w:t>
      </w:r>
    </w:p>
    <w:p w:rsidR="001A6F45" w:rsidRPr="00C859F3" w:rsidRDefault="00C859F3" w:rsidP="001A6F45">
      <w:pPr>
        <w:pStyle w:val="a3"/>
        <w:tabs>
          <w:tab w:val="left" w:pos="0"/>
          <w:tab w:val="left" w:pos="284"/>
        </w:tabs>
        <w:spacing w:after="0" w:line="240" w:lineRule="auto"/>
        <w:ind w:left="0"/>
      </w:pPr>
      <w:r>
        <w:rPr>
          <w:b/>
        </w:rPr>
        <w:t xml:space="preserve">       </w:t>
      </w:r>
      <w:r w:rsidRPr="00C859F3">
        <w:t>-  по в</w:t>
      </w:r>
      <w:r w:rsidR="001A6F45" w:rsidRPr="00C859F3">
        <w:t>озврат</w:t>
      </w:r>
      <w:r w:rsidRPr="00C859F3">
        <w:t>у</w:t>
      </w:r>
      <w:r w:rsidR="001A6F45" w:rsidRPr="00C859F3">
        <w:t xml:space="preserve"> субсидий, субвенций и иных межбюджетных </w:t>
      </w:r>
    </w:p>
    <w:p w:rsidR="001A6F45" w:rsidRDefault="001A6F45" w:rsidP="001A6F45">
      <w:pPr>
        <w:pStyle w:val="a3"/>
        <w:tabs>
          <w:tab w:val="left" w:pos="0"/>
          <w:tab w:val="left" w:pos="284"/>
        </w:tabs>
        <w:spacing w:after="0" w:line="240" w:lineRule="auto"/>
        <w:ind w:left="0"/>
      </w:pPr>
      <w:r w:rsidRPr="00C859F3">
        <w:t xml:space="preserve">трансфертов, имеющих целевое назначение, прошлых лет    </w:t>
      </w:r>
      <w:r w:rsidR="00C859F3">
        <w:t xml:space="preserve">на сумму </w:t>
      </w:r>
      <w:proofErr w:type="gramStart"/>
      <w:r w:rsidR="00C859F3">
        <w:t>(</w:t>
      </w:r>
      <w:r w:rsidRPr="00C859F3">
        <w:t xml:space="preserve"> </w:t>
      </w:r>
      <w:proofErr w:type="gramEnd"/>
      <w:r w:rsidRPr="00C859F3">
        <w:t>-</w:t>
      </w:r>
      <w:r w:rsidR="00C859F3">
        <w:t>)</w:t>
      </w:r>
      <w:r w:rsidRPr="00C859F3">
        <w:t xml:space="preserve"> </w:t>
      </w:r>
      <w:r w:rsidR="00680BF6">
        <w:t>7,8</w:t>
      </w:r>
      <w:r w:rsidRPr="00C859F3">
        <w:t xml:space="preserve"> тыс. рублей. </w:t>
      </w:r>
    </w:p>
    <w:p w:rsidR="00680BF6" w:rsidRPr="00C859F3" w:rsidRDefault="00680BF6" w:rsidP="001A6F45">
      <w:pPr>
        <w:pStyle w:val="a3"/>
        <w:tabs>
          <w:tab w:val="left" w:pos="0"/>
          <w:tab w:val="left" w:pos="284"/>
        </w:tabs>
        <w:spacing w:after="0" w:line="240" w:lineRule="auto"/>
        <w:ind w:left="0"/>
      </w:pPr>
      <w:r>
        <w:t>Всего уточненная сумма безвозмездных поступлений составляет  2 864 359,0 тыс. рублей.</w:t>
      </w:r>
    </w:p>
    <w:p w:rsidR="002D3E13" w:rsidRDefault="00C859F3" w:rsidP="002D3E13">
      <w:pPr>
        <w:widowControl w:val="0"/>
        <w:tabs>
          <w:tab w:val="left" w:pos="10206"/>
        </w:tabs>
        <w:spacing w:after="0" w:line="240" w:lineRule="auto"/>
        <w:ind w:firstLine="709"/>
        <w:jc w:val="both"/>
      </w:pPr>
      <w:r>
        <w:t>Налоговые и неналоговые доходы  уточняются в 202</w:t>
      </w:r>
      <w:r w:rsidR="00046ECC">
        <w:t>4</w:t>
      </w:r>
      <w:r>
        <w:t xml:space="preserve"> году на сумму </w:t>
      </w:r>
      <w:r w:rsidRPr="00C859F3">
        <w:t>(+)</w:t>
      </w:r>
      <w:r w:rsidR="00046ECC">
        <w:t xml:space="preserve"> </w:t>
      </w:r>
      <w:r w:rsidR="00046ECC">
        <w:lastRenderedPageBreak/>
        <w:t>120 492,1</w:t>
      </w:r>
      <w:r w:rsidRPr="00C859F3">
        <w:t xml:space="preserve"> </w:t>
      </w:r>
      <w:r>
        <w:t xml:space="preserve">тыс. рублей. Основная сумма поступлений планируется по НДФЛ (+) </w:t>
      </w:r>
      <w:r w:rsidR="00046ECC">
        <w:t>69 308,8</w:t>
      </w:r>
      <w:r>
        <w:t xml:space="preserve"> тыс.</w:t>
      </w:r>
      <w:r w:rsidR="00046ECC">
        <w:t xml:space="preserve"> </w:t>
      </w:r>
      <w:r>
        <w:t>рублей</w:t>
      </w:r>
      <w:proofErr w:type="gramStart"/>
      <w:r w:rsidR="002D3E13">
        <w:t>.</w:t>
      </w:r>
      <w:proofErr w:type="gramEnd"/>
      <w:r>
        <w:t xml:space="preserve"> </w:t>
      </w:r>
      <w:r w:rsidR="00046ECC">
        <w:t xml:space="preserve"> </w:t>
      </w:r>
      <w:proofErr w:type="gramStart"/>
      <w:r w:rsidR="00046ECC">
        <w:t>и</w:t>
      </w:r>
      <w:proofErr w:type="gramEnd"/>
      <w:r w:rsidR="00046ECC">
        <w:t xml:space="preserve"> по доходам от продажи квартир – 38 623,8 тыс. рублей. </w:t>
      </w:r>
      <w:r w:rsidR="002D3E13">
        <w:t>П</w:t>
      </w:r>
      <w:r>
        <w:t xml:space="preserve">о остальным налоговым и неналоговым доходам  общая сумма поступлений уточняется на (+) </w:t>
      </w:r>
      <w:r w:rsidR="00046ECC">
        <w:t>12 559,5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</w:t>
      </w:r>
    </w:p>
    <w:p w:rsidR="00046ECC" w:rsidRPr="00046ECC" w:rsidRDefault="00046ECC" w:rsidP="00C863D8">
      <w:pPr>
        <w:tabs>
          <w:tab w:val="left" w:pos="284"/>
        </w:tabs>
        <w:spacing w:after="0" w:line="240" w:lineRule="auto"/>
        <w:contextualSpacing/>
        <w:mirrorIndents/>
        <w:jc w:val="both"/>
      </w:pPr>
      <w:r w:rsidRPr="00046ECC">
        <w:t xml:space="preserve">Всего уточненная сумма налоговых и неналоговых платежей составила 2 115 815,3 </w:t>
      </w:r>
      <w:proofErr w:type="spellStart"/>
      <w:r w:rsidRPr="00046ECC">
        <w:t>тыс</w:t>
      </w:r>
      <w:proofErr w:type="gramStart"/>
      <w:r w:rsidRPr="00046ECC">
        <w:t>.р</w:t>
      </w:r>
      <w:proofErr w:type="gramEnd"/>
      <w:r w:rsidRPr="00046ECC">
        <w:t>ублей</w:t>
      </w:r>
      <w:proofErr w:type="spellEnd"/>
      <w:r w:rsidRPr="00046ECC">
        <w:t>.</w:t>
      </w:r>
    </w:p>
    <w:p w:rsidR="00D17864" w:rsidRPr="00C863D8" w:rsidRDefault="00DA11D6" w:rsidP="00C863D8">
      <w:pPr>
        <w:tabs>
          <w:tab w:val="left" w:pos="284"/>
        </w:tabs>
        <w:spacing w:after="0" w:line="240" w:lineRule="auto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</w:t>
      </w:r>
      <w:proofErr w:type="spellStart"/>
      <w:r w:rsidRPr="00C863D8">
        <w:t>Югорска</w:t>
      </w:r>
      <w:proofErr w:type="spellEnd"/>
      <w:r w:rsidRPr="00C863D8">
        <w:t xml:space="preserve">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046ECC">
        <w:rPr>
          <w:b/>
        </w:rPr>
        <w:t>4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046ECC">
        <w:rPr>
          <w:b/>
        </w:rPr>
        <w:t xml:space="preserve">152 411,4 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046ECC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046ECC" w:rsidRPr="00046ECC">
        <w:rPr>
          <w:b/>
        </w:rPr>
        <w:t>5 120 174,3</w:t>
      </w:r>
      <w:r w:rsidR="004F39B5" w:rsidRPr="00C863D8">
        <w:rPr>
          <w:b/>
        </w:rPr>
        <w:t> </w:t>
      </w:r>
      <w:r w:rsidR="0080471E" w:rsidRPr="00C863D8">
        <w:rPr>
          <w:b/>
        </w:rPr>
        <w:t xml:space="preserve"> </w:t>
      </w:r>
      <w:r w:rsidR="008279CD" w:rsidRPr="00C863D8">
        <w:rPr>
          <w:b/>
        </w:rPr>
        <w:t xml:space="preserve"> 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046ECC">
        <w:rPr>
          <w:b/>
        </w:rPr>
        <w:t>лей</w:t>
      </w:r>
      <w:r w:rsidR="00D17864" w:rsidRPr="00C863D8">
        <w:rPr>
          <w:b/>
        </w:rPr>
        <w:t>.</w:t>
      </w:r>
      <w:r w:rsidRPr="00C863D8">
        <w:t xml:space="preserve"> </w:t>
      </w:r>
    </w:p>
    <w:p w:rsidR="00AB3B84" w:rsidRPr="00383869" w:rsidRDefault="00A27516" w:rsidP="00CC4C12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6B3AF8">
      <w:pPr>
        <w:spacing w:after="0"/>
        <w:ind w:firstLine="426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DA11D6" w:rsidRPr="005C0939" w:rsidRDefault="005C0939" w:rsidP="005C0939">
      <w:pPr>
        <w:pStyle w:val="a3"/>
        <w:spacing w:after="0"/>
        <w:rPr>
          <w:i/>
        </w:rPr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046ECC">
        <w:rPr>
          <w:i/>
        </w:rPr>
        <w:t>4</w:t>
      </w:r>
      <w:r>
        <w:rPr>
          <w:i/>
        </w:rPr>
        <w:t xml:space="preserve"> год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1 в тыс.</w:t>
      </w:r>
      <w:r w:rsidR="00CD2EB5">
        <w:t xml:space="preserve"> </w:t>
      </w:r>
      <w:r w:rsidRPr="00393226">
        <w:t>руб</w:t>
      </w:r>
      <w:r w:rsidR="006649F2">
        <w:t>.</w:t>
      </w:r>
      <w:r w:rsidRPr="00393226">
        <w:t>)</w:t>
      </w:r>
    </w:p>
    <w:tbl>
      <w:tblPr>
        <w:tblStyle w:val="a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559"/>
        <w:gridCol w:w="1701"/>
        <w:gridCol w:w="1559"/>
      </w:tblGrid>
      <w:tr w:rsidR="00DA11D6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both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DA11D6" w:rsidRPr="006A6850" w:rsidRDefault="00DA11D6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046ECC">
              <w:rPr>
                <w:sz w:val="22"/>
                <w:szCs w:val="22"/>
              </w:rPr>
              <w:t>97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046ECC">
              <w:rPr>
                <w:sz w:val="22"/>
                <w:szCs w:val="22"/>
              </w:rPr>
              <w:t>19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</w:t>
            </w:r>
            <w:r w:rsidR="00046EC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046ECC">
              <w:rPr>
                <w:sz w:val="22"/>
                <w:szCs w:val="22"/>
              </w:rPr>
              <w:t>4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D83FC6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sz w:val="22"/>
                <w:szCs w:val="22"/>
                <w:lang w:eastAsia="ru-RU"/>
              </w:rPr>
              <w:t>458 663,9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83FC6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469 293,7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83FC6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+10 629,8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sz w:val="22"/>
                <w:szCs w:val="22"/>
                <w:lang w:eastAsia="ru-RU"/>
              </w:rPr>
              <w:t>10 964,4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    15 150,5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sz w:val="22"/>
                <w:szCs w:val="22"/>
                <w:lang w:eastAsia="ru-RU"/>
              </w:rPr>
              <w:t>558 140,3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+54 745,7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sz w:val="22"/>
                <w:szCs w:val="22"/>
                <w:lang w:eastAsia="ru-RU"/>
              </w:rPr>
              <w:t>545 474,1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627 581,5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+82 107,4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sz w:val="22"/>
                <w:szCs w:val="22"/>
                <w:lang w:eastAsia="ru-RU"/>
              </w:rPr>
              <w:t>11 768,7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-7 381,0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2 698 303,2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2 709 267,7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+10 964,5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235 849,2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236 910,3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+1 061,1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131 652,4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130 961,0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-691,4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252 238,0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253 028,2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+790,2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+185,1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3D4293" w:rsidP="00D42E9D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21 053,0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21 053,0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3D4293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42E9D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9D" w:rsidRPr="006A6850" w:rsidRDefault="00D42E9D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D42E9D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3D4293" w:rsidRDefault="00046ECC" w:rsidP="00D42E9D">
            <w:pPr>
              <w:pStyle w:val="a5"/>
              <w:jc w:val="right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D4293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4 967 762,9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46ECC" w:rsidP="00CD4A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5 120 174,3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9D" w:rsidRPr="006A6850" w:rsidRDefault="00046ECC" w:rsidP="00930AE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152 411,4</w:t>
            </w:r>
          </w:p>
        </w:tc>
      </w:tr>
    </w:tbl>
    <w:p w:rsidR="003F3491" w:rsidRPr="001A4296" w:rsidRDefault="003F3491" w:rsidP="001A4296">
      <w:pPr>
        <w:spacing w:after="0" w:line="240" w:lineRule="auto"/>
        <w:rPr>
          <w:i/>
        </w:rPr>
      </w:pPr>
    </w:p>
    <w:p w:rsidR="00DA11D6" w:rsidRPr="005C0939" w:rsidRDefault="00DA11D6" w:rsidP="005C0939">
      <w:pPr>
        <w:pStyle w:val="a3"/>
        <w:spacing w:after="0" w:line="240" w:lineRule="auto"/>
        <w:rPr>
          <w:i/>
        </w:rPr>
      </w:pPr>
      <w:r w:rsidRPr="005C0939">
        <w:rPr>
          <w:i/>
        </w:rPr>
        <w:t xml:space="preserve">в разрезе ведомственной структуры расходов бюджета </w:t>
      </w:r>
      <w:r w:rsidR="003F3085" w:rsidRPr="005C0939">
        <w:rPr>
          <w:i/>
        </w:rPr>
        <w:t>на 202</w:t>
      </w:r>
      <w:r w:rsidR="00046ECC">
        <w:rPr>
          <w:i/>
        </w:rPr>
        <w:t>4</w:t>
      </w:r>
      <w:r w:rsidR="003F3085" w:rsidRPr="005C0939">
        <w:rPr>
          <w:i/>
        </w:rPr>
        <w:t xml:space="preserve"> год 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2 в тыс.</w:t>
      </w:r>
      <w:r w:rsidR="00CD2EB5">
        <w:t xml:space="preserve"> </w:t>
      </w:r>
      <w:r w:rsidRPr="00393226">
        <w:t>руб</w:t>
      </w:r>
      <w:r w:rsidR="006649F2">
        <w:t>.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F064D9" w:rsidRPr="00393226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both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both"/>
              <w:rPr>
                <w:sz w:val="22"/>
                <w:szCs w:val="22"/>
              </w:rPr>
            </w:pPr>
            <w:proofErr w:type="gramStart"/>
            <w:r w:rsidRPr="006A6850">
              <w:rPr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CC" w:rsidRPr="006A6850" w:rsidRDefault="00046ECC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046ECC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97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19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 w:rsidR="00046ECC">
              <w:rPr>
                <w:sz w:val="22"/>
                <w:szCs w:val="22"/>
              </w:rPr>
              <w:t>4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Дума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1370E1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18"/>
                <w:szCs w:val="18"/>
                <w:lang w:eastAsia="ru-RU"/>
              </w:rPr>
            </w:pPr>
            <w:r w:rsidRPr="001370E1">
              <w:rPr>
                <w:rFonts w:eastAsia="Calibri"/>
                <w:bCs/>
                <w:sz w:val="18"/>
                <w:szCs w:val="18"/>
                <w:lang w:eastAsia="ru-RU"/>
              </w:rPr>
              <w:t>11 170,7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E5700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E5700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Администрация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560 794,9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E5700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564 789,0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E5700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+3 994,1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71 053,0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E5700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71 053,0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E5700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155 696,8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E5700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162 048,4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E5700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+6 351,6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1 995 765,1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E5700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1 995 973,3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E5700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+208,2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328 045,2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450BC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330 892,4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50BCB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+2 847,2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D25B63" w:rsidP="00D25B63">
            <w:pPr>
              <w:suppressAutoHyphens w:val="0"/>
              <w:spacing w:line="276" w:lineRule="auto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 xml:space="preserve">       </w:t>
            </w:r>
            <w:r w:rsidR="004039E5" w:rsidRPr="00D25B63">
              <w:rPr>
                <w:rFonts w:eastAsia="Calibri"/>
                <w:bCs/>
                <w:sz w:val="22"/>
                <w:szCs w:val="22"/>
                <w:lang w:eastAsia="ru-RU"/>
              </w:rPr>
              <w:t>318 675,0</w:t>
            </w:r>
          </w:p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450BC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322 348,6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50BC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+3 673,6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039E5" w:rsidP="008E23B8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10 872,5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E5700B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E5700B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Cs/>
                <w:sz w:val="22"/>
                <w:szCs w:val="22"/>
                <w:lang w:eastAsia="ru-RU"/>
              </w:rPr>
              <w:t>1 515 689,7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450BCB" w:rsidP="007B7D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1 651 026,4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50BCB" w:rsidP="00D178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+135 336,7</w:t>
            </w:r>
          </w:p>
        </w:tc>
      </w:tr>
      <w:tr w:rsidR="004039E5" w:rsidRPr="00122F23" w:rsidTr="00D42E9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E5" w:rsidRPr="006A6850" w:rsidRDefault="004039E5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039E5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D25B63" w:rsidRDefault="004039E5" w:rsidP="00415C62">
            <w:pPr>
              <w:suppressAutoHyphens w:val="0"/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D25B63">
              <w:rPr>
                <w:rFonts w:eastAsia="Calibri"/>
                <w:b/>
                <w:sz w:val="22"/>
                <w:szCs w:val="22"/>
                <w:lang w:eastAsia="ru-RU"/>
              </w:rPr>
              <w:t>4 967 762,9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75784A" w:rsidRDefault="004039E5" w:rsidP="00734C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5 120 174,3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5" w:rsidRPr="006A6850" w:rsidRDefault="004039E5" w:rsidP="00930AE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152 411,4</w:t>
            </w:r>
          </w:p>
        </w:tc>
      </w:tr>
    </w:tbl>
    <w:p w:rsidR="00657E5B" w:rsidRPr="003D12F3" w:rsidRDefault="00DA11D6" w:rsidP="00DA11D6">
      <w:pPr>
        <w:spacing w:after="0"/>
        <w:jc w:val="both"/>
      </w:pPr>
      <w:r w:rsidRPr="003D12F3">
        <w:lastRenderedPageBreak/>
        <w:t xml:space="preserve">        </w:t>
      </w:r>
      <w:r w:rsidR="003D12F3" w:rsidRPr="003D12F3">
        <w:t>Объем расходов по непрограммным направлениям деятельности</w:t>
      </w:r>
      <w:r w:rsidR="003D12F3">
        <w:t xml:space="preserve"> на 202</w:t>
      </w:r>
      <w:r w:rsidR="00E67B90">
        <w:t>4</w:t>
      </w:r>
      <w:r w:rsidR="00650DF6">
        <w:t>-202</w:t>
      </w:r>
      <w:r w:rsidR="00E67B90">
        <w:t>6</w:t>
      </w:r>
      <w:r w:rsidR="003D12F3">
        <w:t xml:space="preserve"> год</w:t>
      </w:r>
      <w:r w:rsidR="00650DF6">
        <w:t>ы не изменился.</w:t>
      </w:r>
    </w:p>
    <w:p w:rsidR="00304932" w:rsidRDefault="00DA11D6" w:rsidP="00304932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3D4293">
        <w:rPr>
          <w:b/>
        </w:rPr>
        <w:t>4</w:t>
      </w:r>
      <w:r w:rsidRPr="00C041C3">
        <w:t xml:space="preserve"> год с учетом уточнений составил </w:t>
      </w:r>
      <w:r w:rsidR="00650DF6">
        <w:t xml:space="preserve"> </w:t>
      </w:r>
      <w:r w:rsidR="003D4293">
        <w:rPr>
          <w:b/>
        </w:rPr>
        <w:t>5 096 131,1</w:t>
      </w:r>
      <w:r w:rsidR="00D17864">
        <w:rPr>
          <w:b/>
        </w:rPr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3D4293">
        <w:t>1</w:t>
      </w:r>
      <w:r w:rsidR="005F2239">
        <w:t>4</w:t>
      </w:r>
      <w:r w:rsidR="00304932">
        <w:t>-</w:t>
      </w:r>
      <w:r w:rsidR="00304932" w:rsidRPr="00C041C3">
        <w:t xml:space="preserve">и муниципальным программам  на общую сумму  </w:t>
      </w:r>
      <w:r w:rsidR="00304932">
        <w:t>(+)</w:t>
      </w:r>
      <w:r w:rsidR="00650DF6">
        <w:t xml:space="preserve"> </w:t>
      </w:r>
      <w:r w:rsidR="005F2239">
        <w:t>152 411,4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C041C3" w:rsidRDefault="00DA11D6" w:rsidP="005C0939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 w:rsidR="00046ECC">
        <w:t>4</w:t>
      </w:r>
      <w:r w:rsidR="005C0939">
        <w:t xml:space="preserve"> год</w:t>
      </w:r>
    </w:p>
    <w:p w:rsidR="00DA11D6" w:rsidRPr="00C041C3" w:rsidRDefault="005C0939" w:rsidP="005C0939">
      <w:pPr>
        <w:spacing w:after="0"/>
        <w:jc w:val="right"/>
      </w:pPr>
      <w:r>
        <w:t xml:space="preserve">   (таблица № 3,</w:t>
      </w:r>
      <w:r w:rsidR="006A6850">
        <w:t xml:space="preserve"> </w:t>
      </w:r>
      <w:r w:rsidR="00DA11D6" w:rsidRPr="00C041C3">
        <w:t>в тыс.</w:t>
      </w:r>
      <w:r w:rsidR="00C041C3" w:rsidRPr="00C041C3">
        <w:t xml:space="preserve"> </w:t>
      </w:r>
      <w:r w:rsidR="00DA11D6" w:rsidRPr="00C041C3">
        <w:t>руб</w:t>
      </w:r>
      <w:r w:rsidR="006649F2">
        <w:t>.</w:t>
      </w:r>
      <w:r w:rsidR="00DA11D6" w:rsidRPr="00C041C3">
        <w:t>)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1417"/>
        <w:gridCol w:w="1418"/>
      </w:tblGrid>
      <w:tr w:rsidR="00F064D9" w:rsidRPr="006A6850" w:rsidTr="006A685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CC" w:rsidRPr="006A6850" w:rsidRDefault="00046ECC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046ECC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97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19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 w:rsidR="00046ECC">
              <w:rPr>
                <w:sz w:val="22"/>
                <w:szCs w:val="22"/>
              </w:rPr>
              <w:t>4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«Отдых и оздоровление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5F2239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24 795,6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344E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2 534 817,3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930A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2 540 592,3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930AEF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+5 775,0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346 813,0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349 587,1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+2 774,1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240 500,5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243 773,5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+3 273,0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A03A08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75 860,4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B23882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A03A08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78 631,5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B23882">
            <w:pPr>
              <w:jc w:val="right"/>
              <w:rPr>
                <w:i/>
                <w:sz w:val="24"/>
                <w:szCs w:val="24"/>
              </w:rPr>
            </w:pPr>
          </w:p>
          <w:p w:rsidR="00650DF6" w:rsidRPr="00650DF6" w:rsidRDefault="00A03A08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+2 771,1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жилищной сферы»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359 764,6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358 223,2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-1 541,4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275 094,9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EF6157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295 533,3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650DF6" w:rsidRPr="00650DF6" w:rsidRDefault="00A03A08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+20 438,4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482 572,0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734C63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A03A08" w:rsidP="00734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595 055,8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650DF6" w:rsidRPr="00650DF6" w:rsidRDefault="00A03A08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+112 483,8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69 945,4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76 358,7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+6 413,3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26 468,0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EF6157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650DF6" w:rsidRPr="00650DF6" w:rsidRDefault="00A03A08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-5 585,9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«Доступная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+2 232,3</w:t>
            </w:r>
          </w:p>
        </w:tc>
      </w:tr>
      <w:tr w:rsidR="00AB73BD" w:rsidRPr="006A6850" w:rsidTr="00A03A08">
        <w:trPr>
          <w:trHeight w:val="4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385 881,8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A03A08">
            <w:pPr>
              <w:rPr>
                <w:sz w:val="24"/>
                <w:szCs w:val="24"/>
              </w:rPr>
            </w:pPr>
          </w:p>
          <w:p w:rsidR="00AB73BD" w:rsidRPr="00650DF6" w:rsidRDefault="00A03A08" w:rsidP="00A03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388 373,2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734C63">
            <w:pPr>
              <w:jc w:val="right"/>
              <w:rPr>
                <w:i/>
                <w:sz w:val="24"/>
                <w:szCs w:val="24"/>
              </w:rPr>
            </w:pPr>
          </w:p>
          <w:p w:rsidR="00AB73BD" w:rsidRPr="00650DF6" w:rsidRDefault="00A03A08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+2 491,4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7 650,0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+578,7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69 053,0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69 053,0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A03A08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A03A08" w:rsidP="0075784A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13 868,8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EF6157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A03A08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08" w:rsidRDefault="00A03A08" w:rsidP="00304932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A03A08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415C62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28 372,9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Default="00415C62" w:rsidP="00EF6157">
            <w:pPr>
              <w:jc w:val="right"/>
              <w:rPr>
                <w:sz w:val="24"/>
                <w:szCs w:val="24"/>
              </w:rPr>
            </w:pPr>
          </w:p>
          <w:p w:rsidR="00415C62" w:rsidRDefault="00415C62" w:rsidP="00EF6157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415C62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2" w:rsidRDefault="00415C62" w:rsidP="00304932">
            <w:pPr>
              <w:jc w:val="right"/>
              <w:rPr>
                <w:sz w:val="24"/>
                <w:szCs w:val="24"/>
              </w:rPr>
            </w:pPr>
          </w:p>
          <w:p w:rsidR="00415C62" w:rsidRDefault="00415C62" w:rsidP="00304932">
            <w:pPr>
              <w:jc w:val="right"/>
              <w:rPr>
                <w:sz w:val="24"/>
                <w:szCs w:val="24"/>
              </w:rPr>
            </w:pPr>
          </w:p>
          <w:p w:rsidR="00AB73BD" w:rsidRPr="00650DF6" w:rsidRDefault="00415C62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+185,0</w:t>
            </w:r>
          </w:p>
        </w:tc>
      </w:tr>
      <w:tr w:rsidR="00AB73BD" w:rsidRPr="006A6850" w:rsidTr="007578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415C62" w:rsidP="00AB73BD">
            <w:pPr>
              <w:jc w:val="righ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415C62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415C62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</w:tr>
      <w:tr w:rsidR="00AB73BD" w:rsidRPr="006A6850" w:rsidTr="00B67D60">
        <w:trPr>
          <w:trHeight w:val="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BD" w:rsidRPr="006A6850" w:rsidRDefault="00AB73BD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BD" w:rsidRPr="007F2FE3" w:rsidRDefault="005F2239" w:rsidP="005F2239">
            <w:pPr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4 943 719,7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5F2239" w:rsidP="00930A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5 096 131,1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BD" w:rsidRPr="00650DF6" w:rsidRDefault="005F2239" w:rsidP="00930AE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152 411,4</w:t>
            </w:r>
          </w:p>
        </w:tc>
      </w:tr>
    </w:tbl>
    <w:p w:rsidR="00B6300D" w:rsidRDefault="00B6300D" w:rsidP="005C0939">
      <w:pPr>
        <w:spacing w:after="0" w:line="240" w:lineRule="auto"/>
        <w:jc w:val="both"/>
      </w:pPr>
    </w:p>
    <w:p w:rsidR="00163B0D" w:rsidRDefault="00B6300D" w:rsidP="005C0939">
      <w:pPr>
        <w:spacing w:after="0" w:line="240" w:lineRule="auto"/>
        <w:jc w:val="both"/>
      </w:pPr>
      <w:r>
        <w:t xml:space="preserve">           </w:t>
      </w:r>
      <w:r w:rsidR="005C0939">
        <w:t xml:space="preserve"> </w:t>
      </w:r>
      <w:r w:rsidR="00DA11D6" w:rsidRPr="00B02199">
        <w:t>Основное увеличение расходов отмечается по муниципальн</w:t>
      </w:r>
      <w:r w:rsidR="00873E86">
        <w:t>ым</w:t>
      </w:r>
      <w:r w:rsidR="00DA11D6" w:rsidRPr="00B02199">
        <w:t xml:space="preserve">  программ</w:t>
      </w:r>
      <w:r w:rsidR="00873E86">
        <w:t>ам</w:t>
      </w:r>
      <w:r w:rsidR="00D27623" w:rsidRPr="00B02199">
        <w:t xml:space="preserve"> </w:t>
      </w:r>
      <w:r w:rsidR="00AB65C3" w:rsidRPr="00873E86">
        <w:rPr>
          <w:sz w:val="24"/>
          <w:szCs w:val="24"/>
        </w:rPr>
        <w:t>«</w:t>
      </w:r>
      <w:r w:rsidR="00415C62" w:rsidRPr="00415C62">
        <w:rPr>
          <w:lang w:eastAsia="ru-RU"/>
        </w:rPr>
        <w:t>Развитие  жилищно-коммунального комплекса и повышение энергетической эффективности</w:t>
      </w:r>
      <w:r w:rsidR="00AB65C3" w:rsidRPr="00873E86">
        <w:rPr>
          <w:sz w:val="24"/>
          <w:szCs w:val="24"/>
        </w:rPr>
        <w:t xml:space="preserve">» </w:t>
      </w:r>
      <w:r w:rsidR="00AB3B84" w:rsidRPr="00873E86">
        <w:rPr>
          <w:sz w:val="24"/>
          <w:szCs w:val="24"/>
        </w:rPr>
        <w:t>(</w:t>
      </w:r>
      <w:r w:rsidR="00AB65C3" w:rsidRPr="00873E86">
        <w:rPr>
          <w:sz w:val="24"/>
          <w:szCs w:val="24"/>
        </w:rPr>
        <w:t>+</w:t>
      </w:r>
      <w:r w:rsidR="00AB3B84" w:rsidRPr="00873E86">
        <w:rPr>
          <w:sz w:val="24"/>
          <w:szCs w:val="24"/>
        </w:rPr>
        <w:t>)</w:t>
      </w:r>
      <w:r w:rsidR="00803376" w:rsidRPr="00B02199">
        <w:t xml:space="preserve"> </w:t>
      </w:r>
      <w:r w:rsidR="00415C62">
        <w:t>20 438,4</w:t>
      </w:r>
      <w:r w:rsidR="00AB65C3" w:rsidRPr="00B02199">
        <w:t xml:space="preserve">  тыс.</w:t>
      </w:r>
      <w:r w:rsidR="00B02199" w:rsidRPr="00B02199">
        <w:t xml:space="preserve"> </w:t>
      </w:r>
      <w:r w:rsidR="00AB65C3" w:rsidRPr="00B02199">
        <w:t>руб</w:t>
      </w:r>
      <w:r w:rsidR="00E67B90">
        <w:t>лей (субсидия  на</w:t>
      </w:r>
      <w:r w:rsidR="00C8005C">
        <w:t xml:space="preserve"> погашение задолженности за </w:t>
      </w:r>
      <w:r w:rsidR="00CE67E6">
        <w:t>потребленные топливно-энергетические ресурсы</w:t>
      </w:r>
      <w:r w:rsidR="003F3085">
        <w:t>)</w:t>
      </w:r>
      <w:r w:rsidR="00166C65">
        <w:t xml:space="preserve"> и</w:t>
      </w:r>
      <w:r w:rsidR="00873E86">
        <w:t xml:space="preserve"> </w:t>
      </w:r>
      <w:r w:rsidR="00B67D60" w:rsidRPr="00B67D60">
        <w:rPr>
          <w:lang w:eastAsia="ru-RU"/>
        </w:rPr>
        <w:t>«Автомобильные дороги, транспорт и городская среда»</w:t>
      </w:r>
      <w:r w:rsidR="00B67D60">
        <w:t xml:space="preserve"> </w:t>
      </w:r>
      <w:r w:rsidR="00541A97">
        <w:t xml:space="preserve">(+) </w:t>
      </w:r>
      <w:r w:rsidR="00B67D60">
        <w:t>1</w:t>
      </w:r>
      <w:r w:rsidR="00415C62">
        <w:t>12 483,8</w:t>
      </w:r>
      <w:r w:rsidR="00541A97">
        <w:t xml:space="preserve"> тыс. рублей</w:t>
      </w:r>
      <w:r w:rsidR="00E67B90">
        <w:t xml:space="preserve"> (</w:t>
      </w:r>
      <w:r w:rsidR="00B67D60">
        <w:t>ремонт автомобильных дорог</w:t>
      </w:r>
      <w:r w:rsidR="00E67B90">
        <w:t>, благоустройство территорий, инициативные проекты</w:t>
      </w:r>
      <w:r w:rsidR="009B11F3">
        <w:t>).</w:t>
      </w:r>
    </w:p>
    <w:p w:rsidR="002D3E13" w:rsidRDefault="00B6300D" w:rsidP="00A10BAA">
      <w:pPr>
        <w:spacing w:after="0"/>
        <w:ind w:firstLine="426"/>
        <w:jc w:val="both"/>
      </w:pPr>
      <w:r>
        <w:t xml:space="preserve">    Общие параметры </w:t>
      </w:r>
      <w:r w:rsidR="002D3E13" w:rsidRPr="00D730D5">
        <w:t xml:space="preserve"> городского бюджета  </w:t>
      </w:r>
      <w:r>
        <w:rPr>
          <w:b/>
        </w:rPr>
        <w:t xml:space="preserve">на 2025 </w:t>
      </w:r>
      <w:r w:rsidR="00415C62">
        <w:rPr>
          <w:b/>
        </w:rPr>
        <w:t xml:space="preserve"> и </w:t>
      </w:r>
      <w:r w:rsidR="002D3E13" w:rsidRPr="002D3E13">
        <w:t xml:space="preserve"> </w:t>
      </w:r>
      <w:r w:rsidRPr="00B6300D">
        <w:rPr>
          <w:b/>
        </w:rPr>
        <w:t>на</w:t>
      </w:r>
      <w:r w:rsidR="002D3E13" w:rsidRPr="00B6300D">
        <w:rPr>
          <w:b/>
        </w:rPr>
        <w:t xml:space="preserve"> </w:t>
      </w:r>
      <w:r w:rsidR="002D3E13" w:rsidRPr="002D3E13">
        <w:rPr>
          <w:b/>
        </w:rPr>
        <w:t xml:space="preserve"> 202</w:t>
      </w:r>
      <w:r w:rsidR="00415C62">
        <w:rPr>
          <w:b/>
        </w:rPr>
        <w:t>6</w:t>
      </w:r>
      <w:r w:rsidR="002D3E13" w:rsidRPr="002D3E13">
        <w:rPr>
          <w:b/>
        </w:rPr>
        <w:t xml:space="preserve"> год</w:t>
      </w:r>
      <w:r>
        <w:rPr>
          <w:b/>
        </w:rPr>
        <w:t>ы</w:t>
      </w:r>
      <w:r w:rsidR="002D3E13" w:rsidRPr="00D730D5">
        <w:t xml:space="preserve"> </w:t>
      </w:r>
      <w:r w:rsidR="002D3E13">
        <w:t xml:space="preserve"> </w:t>
      </w:r>
      <w:r w:rsidR="004B1BA8">
        <w:t>остались на прежнем уровне</w:t>
      </w:r>
      <w:r w:rsidR="00A10BAA">
        <w:t xml:space="preserve">. </w:t>
      </w:r>
    </w:p>
    <w:p w:rsidR="00B6300D" w:rsidRPr="003C4E83" w:rsidRDefault="00A10BAA" w:rsidP="00B6300D">
      <w:pPr>
        <w:spacing w:after="0" w:line="240" w:lineRule="auto"/>
        <w:ind w:firstLine="709"/>
        <w:jc w:val="both"/>
      </w:pPr>
      <w:proofErr w:type="gramStart"/>
      <w:r>
        <w:t>Увеличен о</w:t>
      </w:r>
      <w:r w:rsidRPr="001D0D0E">
        <w:t xml:space="preserve">бъем бюджетных ассигнований муниципального дорожного фонда города </w:t>
      </w:r>
      <w:proofErr w:type="spellStart"/>
      <w:r w:rsidRPr="001D0D0E">
        <w:t>Югорска</w:t>
      </w:r>
      <w:proofErr w:type="spellEnd"/>
      <w:r w:rsidRPr="001D0D0E">
        <w:t xml:space="preserve"> </w:t>
      </w:r>
      <w:r w:rsidR="00B6300D">
        <w:t>в 2024</w:t>
      </w:r>
      <w:r>
        <w:t xml:space="preserve"> году </w:t>
      </w:r>
      <w:r w:rsidRPr="001D0D0E">
        <w:t xml:space="preserve"> на </w:t>
      </w:r>
      <w:r w:rsidR="00B6300D">
        <w:t>2 225,5</w:t>
      </w:r>
      <w:r w:rsidRPr="001D0D0E">
        <w:t xml:space="preserve"> тыс. рублей в связи с уточнением суммы </w:t>
      </w:r>
      <w:r>
        <w:t>неиспользованных остатков средств на 01.01.202</w:t>
      </w:r>
      <w:r w:rsidR="00E67B90">
        <w:t>4</w:t>
      </w:r>
      <w:r>
        <w:t xml:space="preserve">,  </w:t>
      </w:r>
      <w:r w:rsidR="00B6300D" w:rsidRPr="005E6ED2">
        <w:t>увеличением плановых назначений платы в счет возмещения вреда, причиняемого транспортными средствами, осуществляющими перевозки тяжеловесных грузов, автомобильным дорогам общего пользования местного значения, и снижением плановых</w:t>
      </w:r>
      <w:r w:rsidR="00B6300D">
        <w:t xml:space="preserve"> назначений по акцизам на нефтепродукты, производимых на территории Российской</w:t>
      </w:r>
      <w:proofErr w:type="gramEnd"/>
      <w:r w:rsidR="00B6300D">
        <w:t xml:space="preserve"> Федерации.</w:t>
      </w:r>
    </w:p>
    <w:p w:rsidR="005D02BB" w:rsidRDefault="00744733" w:rsidP="00B6300D">
      <w:pPr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В</w:t>
      </w:r>
      <w:proofErr w:type="spellStart"/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предел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муниципального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долга</w:t>
      </w:r>
      <w:proofErr w:type="spellEnd"/>
      <w:r w:rsidR="00B10E64" w:rsidRPr="00B10E64">
        <w:rPr>
          <w:color w:val="000000"/>
          <w:lang w:eastAsia="ru-RU"/>
        </w:rPr>
        <w:t xml:space="preserve"> города </w:t>
      </w:r>
      <w:proofErr w:type="spellStart"/>
      <w:r w:rsidR="00B10E64" w:rsidRPr="00B10E64">
        <w:rPr>
          <w:color w:val="000000"/>
          <w:lang w:eastAsia="ru-RU"/>
        </w:rPr>
        <w:t>Югорска</w:t>
      </w:r>
      <w:proofErr w:type="spellEnd"/>
      <w:r w:rsidR="00B10E64" w:rsidRPr="00B10E64">
        <w:rPr>
          <w:color w:val="000000"/>
          <w:lang w:eastAsia="ru-RU"/>
        </w:rPr>
        <w:t xml:space="preserve"> </w:t>
      </w:r>
      <w:r w:rsidR="007F3E8E">
        <w:rPr>
          <w:color w:val="000000"/>
          <w:lang w:eastAsia="ru-RU"/>
        </w:rPr>
        <w:t>составит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 w:rsidR="00B6300D">
        <w:rPr>
          <w:rFonts w:ascii="PT Astra Serif" w:hAnsi="PT Astra Serif"/>
          <w:sz w:val="26"/>
          <w:szCs w:val="26"/>
        </w:rPr>
        <w:t>5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>
        <w:rPr>
          <w:rFonts w:ascii="PT Astra Serif" w:hAnsi="PT Astra Serif"/>
          <w:sz w:val="26"/>
          <w:szCs w:val="26"/>
        </w:rPr>
        <w:t>32</w:t>
      </w:r>
      <w:r w:rsidR="00B6300D">
        <w:rPr>
          <w:rFonts w:ascii="PT Astra Serif" w:hAnsi="PT Astra Serif"/>
          <w:sz w:val="26"/>
          <w:szCs w:val="26"/>
        </w:rPr>
        <w:t>5 818</w:t>
      </w:r>
      <w:r>
        <w:rPr>
          <w:rFonts w:ascii="PT Astra Serif" w:hAnsi="PT Astra Serif"/>
          <w:sz w:val="26"/>
          <w:szCs w:val="26"/>
        </w:rPr>
        <w:t>,0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B6300D">
        <w:rPr>
          <w:rFonts w:ascii="PT Astra Serif" w:hAnsi="PT Astra Serif"/>
          <w:sz w:val="26"/>
          <w:szCs w:val="26"/>
        </w:rPr>
        <w:t>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>
        <w:rPr>
          <w:rFonts w:ascii="PT Astra Serif" w:hAnsi="PT Astra Serif"/>
          <w:sz w:val="26"/>
          <w:szCs w:val="26"/>
        </w:rPr>
        <w:t>3</w:t>
      </w:r>
      <w:r w:rsidR="00B6300D">
        <w:rPr>
          <w:rFonts w:ascii="PT Astra Serif" w:hAnsi="PT Astra Serif"/>
          <w:sz w:val="26"/>
          <w:szCs w:val="26"/>
        </w:rPr>
        <w:t>45 258,4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B6300D">
        <w:rPr>
          <w:rFonts w:ascii="PT Astra Serif" w:hAnsi="PT Astra Serif"/>
          <w:sz w:val="26"/>
          <w:szCs w:val="26"/>
        </w:rPr>
        <w:t>7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>
        <w:rPr>
          <w:rFonts w:ascii="PT Astra Serif" w:hAnsi="PT Astra Serif"/>
          <w:sz w:val="26"/>
          <w:szCs w:val="26"/>
        </w:rPr>
        <w:t>3</w:t>
      </w:r>
      <w:r w:rsidR="00B6300D">
        <w:rPr>
          <w:rFonts w:ascii="PT Astra Serif" w:hAnsi="PT Astra Serif"/>
          <w:sz w:val="26"/>
          <w:szCs w:val="26"/>
        </w:rPr>
        <w:t>78 509,2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0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B6300D" w:rsidP="00254BC8">
      <w:pPr>
        <w:spacing w:after="0"/>
        <w:ind w:firstLine="567"/>
        <w:jc w:val="both"/>
        <w:rPr>
          <w:color w:val="FF0000"/>
          <w:lang w:eastAsia="ru-RU"/>
        </w:rPr>
      </w:pPr>
      <w:r>
        <w:t>Кроме того, учтена</w:t>
      </w:r>
      <w:r w:rsidR="00DA11D6" w:rsidRPr="005537CB">
        <w:t xml:space="preserve"> корректировка бюджетных ассигнований </w:t>
      </w:r>
      <w:r>
        <w:t xml:space="preserve"> на 2024-2026 годы, произведенная </w:t>
      </w:r>
      <w:r w:rsidR="00DA11D6" w:rsidRPr="005537CB">
        <w:t xml:space="preserve">в </w:t>
      </w:r>
      <w:r w:rsidR="00DA11D6"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>перераспределения бюджетных ассигнований в пределах, предусмотренных главным распорядителям средств бюджета города Югорска, на предоставление бюджетным и автономным учреждениям города Югорска субсидий на финансовое обеспечение муниципального  задания на оказание муниципальных услуг (выполнение работ) и субсидий на иные цели;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Югорска, а так же между их исполнителями;</w:t>
      </w:r>
    </w:p>
    <w:p w:rsidR="009D44C3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</w:t>
      </w:r>
    </w:p>
    <w:p w:rsidR="00DA11D6" w:rsidRDefault="009D44C3" w:rsidP="009D44C3">
      <w:pPr>
        <w:spacing w:after="0" w:line="240" w:lineRule="auto"/>
        <w:ind w:firstLine="709"/>
        <w:jc w:val="both"/>
      </w:pPr>
      <w:r>
        <w:t>Д</w:t>
      </w:r>
      <w:r w:rsidRPr="003C4E83">
        <w:t>ефицит бюджета города на 202</w:t>
      </w:r>
      <w:r>
        <w:t>4</w:t>
      </w:r>
      <w:r w:rsidRPr="003C4E83">
        <w:t xml:space="preserve"> год </w:t>
      </w:r>
      <w:r>
        <w:t>остается без изменения в сумме</w:t>
      </w:r>
      <w:r w:rsidRPr="003C4E83">
        <w:t xml:space="preserve"> (–) </w:t>
      </w:r>
      <w:r>
        <w:t>140 000,0</w:t>
      </w:r>
      <w:r w:rsidRPr="003C4E83">
        <w:t xml:space="preserve"> тыс. рублей.</w:t>
      </w:r>
      <w:r w:rsidRPr="00D56353">
        <w:t xml:space="preserve"> </w:t>
      </w:r>
    </w:p>
    <w:p w:rsidR="0016503B" w:rsidRDefault="0016503B" w:rsidP="0016503B">
      <w:pPr>
        <w:spacing w:after="0"/>
        <w:ind w:firstLine="426"/>
        <w:jc w:val="both"/>
      </w:pPr>
      <w:r>
        <w:t xml:space="preserve">Объем расходов на обслуживание муниципального внутреннего долга города </w:t>
      </w:r>
      <w:proofErr w:type="spellStart"/>
      <w:r>
        <w:t>Югорска</w:t>
      </w:r>
      <w:proofErr w:type="spellEnd"/>
      <w:r>
        <w:t xml:space="preserve"> не изменился.</w:t>
      </w:r>
    </w:p>
    <w:p w:rsidR="0016503B" w:rsidRPr="003C4DC4" w:rsidRDefault="0016503B" w:rsidP="002925F8">
      <w:pPr>
        <w:spacing w:after="0"/>
        <w:ind w:firstLine="426"/>
        <w:jc w:val="both"/>
      </w:pPr>
      <w:r w:rsidRPr="00D03A62">
        <w:t>Источники финансирования дефицита бюджета  соответствуют ст.</w:t>
      </w:r>
      <w:r>
        <w:t xml:space="preserve"> </w:t>
      </w:r>
      <w:r w:rsidRPr="00D03A62">
        <w:t>96 Бюджет</w:t>
      </w:r>
      <w:r>
        <w:t xml:space="preserve">ного кодекса РФ и представлены </w:t>
      </w:r>
      <w:r w:rsidRPr="005537CB">
        <w:t>на 202</w:t>
      </w:r>
      <w:r w:rsidR="009D44C3">
        <w:t>4</w:t>
      </w:r>
      <w:r w:rsidRPr="005537CB">
        <w:t xml:space="preserve"> год  </w:t>
      </w:r>
      <w:r w:rsidRPr="001A6F45">
        <w:t xml:space="preserve">кредитами кредитных организаций, </w:t>
      </w:r>
      <w:r w:rsidRPr="005537CB">
        <w:t>бюджетными кредитами, остатками средств на счетах по учету средств бюджетов</w:t>
      </w:r>
      <w:r>
        <w:t>, иными источниками внутреннего финансирования дефицитов  бюджета.</w:t>
      </w:r>
    </w:p>
    <w:p w:rsidR="00DA11D6" w:rsidRPr="003C4DC4" w:rsidRDefault="00DA11D6" w:rsidP="007C7D64">
      <w:pPr>
        <w:spacing w:after="0"/>
        <w:jc w:val="both"/>
      </w:pPr>
      <w:r w:rsidRPr="003C4DC4">
        <w:t xml:space="preserve">        </w:t>
      </w: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 xml:space="preserve">в текстовую часть решения о бюджете города </w:t>
      </w:r>
      <w:proofErr w:type="spellStart"/>
      <w:r w:rsidRPr="003C4DC4">
        <w:t>Югорска</w:t>
      </w:r>
      <w:proofErr w:type="spellEnd"/>
      <w:r w:rsidR="002925F8">
        <w:t xml:space="preserve"> в пункты 1,</w:t>
      </w:r>
      <w:r w:rsidR="003C4DC4">
        <w:t>3,12,14,15</w:t>
      </w:r>
      <w:r w:rsidR="002925F8">
        <w:t>,22</w:t>
      </w:r>
      <w:r w:rsidRPr="003C4DC4">
        <w:t xml:space="preserve"> и в приложения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254BC8" w:rsidRPr="003C4DC4">
        <w:t>1</w:t>
      </w:r>
      <w:r w:rsidR="002925F8">
        <w:t>, 3</w:t>
      </w:r>
      <w:r w:rsidR="00A27A92" w:rsidRPr="003C4DC4">
        <w:t>-</w:t>
      </w:r>
      <w:r w:rsidR="00254BC8" w:rsidRPr="003C4DC4">
        <w:t>1</w:t>
      </w:r>
      <w:r w:rsidR="002925F8">
        <w:t>7</w:t>
      </w:r>
      <w:r w:rsidRPr="003C4DC4">
        <w:t xml:space="preserve">. </w:t>
      </w:r>
    </w:p>
    <w:p w:rsidR="00653CEE" w:rsidRDefault="00653CEE" w:rsidP="00653CEE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653CEE" w:rsidRDefault="00155D78" w:rsidP="00DA11D6">
      <w:pPr>
        <w:spacing w:after="0"/>
      </w:pPr>
      <w:bookmarkStart w:id="1" w:name="_GoBack"/>
      <w:bookmarkEnd w:id="1"/>
      <w:r w:rsidRPr="00254BC8">
        <w:t xml:space="preserve">Экспертиза  направлена в Думу города </w:t>
      </w:r>
      <w:proofErr w:type="spellStart"/>
      <w:r w:rsidRPr="00254BC8">
        <w:t>Югорска</w:t>
      </w:r>
      <w:proofErr w:type="spellEnd"/>
      <w:r w:rsidRPr="00254BC8">
        <w:t>.</w:t>
      </w:r>
    </w:p>
    <w:p w:rsidR="008D4E41" w:rsidRDefault="008D4E41" w:rsidP="00DA11D6">
      <w:pPr>
        <w:spacing w:after="0"/>
      </w:pPr>
    </w:p>
    <w:p w:rsidR="006A6850" w:rsidRDefault="00350DD2" w:rsidP="00DA11D6">
      <w:pPr>
        <w:spacing w:after="0"/>
      </w:pPr>
      <w:r>
        <w:t>П</w:t>
      </w:r>
      <w:r w:rsidR="00B4481D" w:rsidRPr="00254BC8">
        <w:t>редседател</w:t>
      </w:r>
      <w:r>
        <w:t>ь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 палаты города </w:t>
      </w:r>
      <w:proofErr w:type="spellStart"/>
      <w:r w:rsidRPr="00254BC8">
        <w:t>Югорска</w:t>
      </w:r>
      <w:proofErr w:type="spellEnd"/>
      <w:r w:rsidRPr="00254BC8">
        <w:t xml:space="preserve">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                                          </w:t>
      </w:r>
      <w:proofErr w:type="spellStart"/>
      <w:r w:rsidR="00350DD2">
        <w:t>Н.М.Гусева</w:t>
      </w:r>
      <w:proofErr w:type="spellEnd"/>
    </w:p>
    <w:p w:rsidR="00245C47" w:rsidRDefault="00245C47"/>
    <w:sectPr w:rsidR="00245C47" w:rsidSect="003F349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42E91"/>
    <w:rsid w:val="00046ECC"/>
    <w:rsid w:val="000C348A"/>
    <w:rsid w:val="000E1559"/>
    <w:rsid w:val="00122F23"/>
    <w:rsid w:val="0014674D"/>
    <w:rsid w:val="00153454"/>
    <w:rsid w:val="00155D78"/>
    <w:rsid w:val="00163B0D"/>
    <w:rsid w:val="0016503B"/>
    <w:rsid w:val="00166C65"/>
    <w:rsid w:val="001805B3"/>
    <w:rsid w:val="001A2184"/>
    <w:rsid w:val="001A4296"/>
    <w:rsid w:val="001A6F45"/>
    <w:rsid w:val="0020313E"/>
    <w:rsid w:val="0021344E"/>
    <w:rsid w:val="002147DC"/>
    <w:rsid w:val="00224D89"/>
    <w:rsid w:val="00245C47"/>
    <w:rsid w:val="00250139"/>
    <w:rsid w:val="00254BC8"/>
    <w:rsid w:val="002668E6"/>
    <w:rsid w:val="002925F8"/>
    <w:rsid w:val="002D3E13"/>
    <w:rsid w:val="00304932"/>
    <w:rsid w:val="00322288"/>
    <w:rsid w:val="00344E75"/>
    <w:rsid w:val="00346583"/>
    <w:rsid w:val="00350DD2"/>
    <w:rsid w:val="00350FE2"/>
    <w:rsid w:val="00383869"/>
    <w:rsid w:val="003B6167"/>
    <w:rsid w:val="003B6927"/>
    <w:rsid w:val="003C4DC4"/>
    <w:rsid w:val="003D12F3"/>
    <w:rsid w:val="003D21B9"/>
    <w:rsid w:val="003D4293"/>
    <w:rsid w:val="003E45FF"/>
    <w:rsid w:val="003E48CA"/>
    <w:rsid w:val="003E6A99"/>
    <w:rsid w:val="003F3085"/>
    <w:rsid w:val="003F3491"/>
    <w:rsid w:val="004039E5"/>
    <w:rsid w:val="00415C62"/>
    <w:rsid w:val="0041676B"/>
    <w:rsid w:val="004178C3"/>
    <w:rsid w:val="00421573"/>
    <w:rsid w:val="004231BC"/>
    <w:rsid w:val="00425CFC"/>
    <w:rsid w:val="00437B9A"/>
    <w:rsid w:val="00450BCB"/>
    <w:rsid w:val="00457018"/>
    <w:rsid w:val="004642E7"/>
    <w:rsid w:val="00477E78"/>
    <w:rsid w:val="00480116"/>
    <w:rsid w:val="00483F3C"/>
    <w:rsid w:val="004B1BA8"/>
    <w:rsid w:val="004B4E01"/>
    <w:rsid w:val="004D5956"/>
    <w:rsid w:val="004F39B5"/>
    <w:rsid w:val="00521AE0"/>
    <w:rsid w:val="0053392A"/>
    <w:rsid w:val="00536386"/>
    <w:rsid w:val="00541563"/>
    <w:rsid w:val="00541A97"/>
    <w:rsid w:val="005476EE"/>
    <w:rsid w:val="0054782D"/>
    <w:rsid w:val="005537CB"/>
    <w:rsid w:val="005A3574"/>
    <w:rsid w:val="005B4B30"/>
    <w:rsid w:val="005C0939"/>
    <w:rsid w:val="005C0F25"/>
    <w:rsid w:val="005C3024"/>
    <w:rsid w:val="005D02BB"/>
    <w:rsid w:val="005E7E1A"/>
    <w:rsid w:val="005F2239"/>
    <w:rsid w:val="00642A9D"/>
    <w:rsid w:val="0064767D"/>
    <w:rsid w:val="00650DF6"/>
    <w:rsid w:val="00653CEE"/>
    <w:rsid w:val="00657E5B"/>
    <w:rsid w:val="006649F2"/>
    <w:rsid w:val="006775FA"/>
    <w:rsid w:val="00680BF6"/>
    <w:rsid w:val="00682539"/>
    <w:rsid w:val="0068566B"/>
    <w:rsid w:val="006A6850"/>
    <w:rsid w:val="006A7BA1"/>
    <w:rsid w:val="006B3AF8"/>
    <w:rsid w:val="006E2E63"/>
    <w:rsid w:val="006F66A5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9004C"/>
    <w:rsid w:val="007B50A1"/>
    <w:rsid w:val="007B7DF0"/>
    <w:rsid w:val="007C7D64"/>
    <w:rsid w:val="007E39EB"/>
    <w:rsid w:val="007F3985"/>
    <w:rsid w:val="007F3E8E"/>
    <w:rsid w:val="007F6986"/>
    <w:rsid w:val="00803376"/>
    <w:rsid w:val="0080471E"/>
    <w:rsid w:val="00805B35"/>
    <w:rsid w:val="00805D8C"/>
    <w:rsid w:val="008279CD"/>
    <w:rsid w:val="00835EFB"/>
    <w:rsid w:val="008440CD"/>
    <w:rsid w:val="00873E86"/>
    <w:rsid w:val="008958D1"/>
    <w:rsid w:val="008B2BB9"/>
    <w:rsid w:val="008D4E41"/>
    <w:rsid w:val="008E23B8"/>
    <w:rsid w:val="00930AEF"/>
    <w:rsid w:val="00957057"/>
    <w:rsid w:val="0098315C"/>
    <w:rsid w:val="009B11F3"/>
    <w:rsid w:val="009C42AA"/>
    <w:rsid w:val="009D44C3"/>
    <w:rsid w:val="009F5C23"/>
    <w:rsid w:val="00A03A08"/>
    <w:rsid w:val="00A072FC"/>
    <w:rsid w:val="00A0774D"/>
    <w:rsid w:val="00A10BAA"/>
    <w:rsid w:val="00A27516"/>
    <w:rsid w:val="00A27A92"/>
    <w:rsid w:val="00A34856"/>
    <w:rsid w:val="00A4082B"/>
    <w:rsid w:val="00A62102"/>
    <w:rsid w:val="00A74280"/>
    <w:rsid w:val="00A75B56"/>
    <w:rsid w:val="00A83731"/>
    <w:rsid w:val="00AA307A"/>
    <w:rsid w:val="00AB3B84"/>
    <w:rsid w:val="00AB65C3"/>
    <w:rsid w:val="00AB73BD"/>
    <w:rsid w:val="00AE6AD8"/>
    <w:rsid w:val="00B02199"/>
    <w:rsid w:val="00B10E64"/>
    <w:rsid w:val="00B23882"/>
    <w:rsid w:val="00B27343"/>
    <w:rsid w:val="00B35ED1"/>
    <w:rsid w:val="00B4481D"/>
    <w:rsid w:val="00B62BE0"/>
    <w:rsid w:val="00B6300D"/>
    <w:rsid w:val="00B67D60"/>
    <w:rsid w:val="00B839A4"/>
    <w:rsid w:val="00B8411F"/>
    <w:rsid w:val="00B96C00"/>
    <w:rsid w:val="00BB3095"/>
    <w:rsid w:val="00BD31E7"/>
    <w:rsid w:val="00BE31AB"/>
    <w:rsid w:val="00C041C3"/>
    <w:rsid w:val="00C14FA9"/>
    <w:rsid w:val="00C505B9"/>
    <w:rsid w:val="00C8005C"/>
    <w:rsid w:val="00C859F3"/>
    <w:rsid w:val="00C863D8"/>
    <w:rsid w:val="00CA10CC"/>
    <w:rsid w:val="00CA3C35"/>
    <w:rsid w:val="00CB46C5"/>
    <w:rsid w:val="00CC4C12"/>
    <w:rsid w:val="00CD2EB5"/>
    <w:rsid w:val="00CD3E8B"/>
    <w:rsid w:val="00CD4A83"/>
    <w:rsid w:val="00CE4F0E"/>
    <w:rsid w:val="00CE67E6"/>
    <w:rsid w:val="00D03A62"/>
    <w:rsid w:val="00D125B5"/>
    <w:rsid w:val="00D13D12"/>
    <w:rsid w:val="00D143C1"/>
    <w:rsid w:val="00D17864"/>
    <w:rsid w:val="00D25B63"/>
    <w:rsid w:val="00D26807"/>
    <w:rsid w:val="00D26B22"/>
    <w:rsid w:val="00D27623"/>
    <w:rsid w:val="00D31C6D"/>
    <w:rsid w:val="00D42E9D"/>
    <w:rsid w:val="00D4515D"/>
    <w:rsid w:val="00D55386"/>
    <w:rsid w:val="00D730D5"/>
    <w:rsid w:val="00D733BE"/>
    <w:rsid w:val="00D83FC6"/>
    <w:rsid w:val="00D9461F"/>
    <w:rsid w:val="00D96D65"/>
    <w:rsid w:val="00DA11D6"/>
    <w:rsid w:val="00DB69DF"/>
    <w:rsid w:val="00DC794F"/>
    <w:rsid w:val="00E17227"/>
    <w:rsid w:val="00E22D59"/>
    <w:rsid w:val="00E40D3C"/>
    <w:rsid w:val="00E514E0"/>
    <w:rsid w:val="00E54888"/>
    <w:rsid w:val="00E5700B"/>
    <w:rsid w:val="00E67B90"/>
    <w:rsid w:val="00E8239C"/>
    <w:rsid w:val="00E82BF9"/>
    <w:rsid w:val="00EC407B"/>
    <w:rsid w:val="00EE3833"/>
    <w:rsid w:val="00EF2F76"/>
    <w:rsid w:val="00EF6157"/>
    <w:rsid w:val="00F06064"/>
    <w:rsid w:val="00F064D9"/>
    <w:rsid w:val="00F06DC4"/>
    <w:rsid w:val="00F271F7"/>
    <w:rsid w:val="00F30734"/>
    <w:rsid w:val="00F60367"/>
    <w:rsid w:val="00F618FA"/>
    <w:rsid w:val="00F623D0"/>
    <w:rsid w:val="00F62516"/>
    <w:rsid w:val="00F63E1E"/>
    <w:rsid w:val="00F67FCB"/>
    <w:rsid w:val="00FA4A7D"/>
    <w:rsid w:val="00FA66A1"/>
    <w:rsid w:val="00FA68F8"/>
    <w:rsid w:val="00FA6BB6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37D4-730A-4FDC-87D4-116CC519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16</cp:revision>
  <cp:lastPrinted>2024-04-12T11:00:00Z</cp:lastPrinted>
  <dcterms:created xsi:type="dcterms:W3CDTF">2024-04-09T09:55:00Z</dcterms:created>
  <dcterms:modified xsi:type="dcterms:W3CDTF">2024-04-12T11:03:00Z</dcterms:modified>
</cp:coreProperties>
</file>